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Petri Dish Instructions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Testing home: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Close windows and doors of suspected room for 6 hours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Leave dish open in room for 1 hour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Seal with stickers and put in a dark area for 7 days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Put in freezer if cannot bring it in on day 7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Count the number of colonies (size does not matter)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0-4 Normal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5-8 Concerning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9+ Hazardous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Body Samples: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Either: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Spit once in the center of the plate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216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Use Q-tip to swab suspected area and apply to 2 different areas of the dish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Seal with stickers and put in a dark area for 7 days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216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Put in freezer if cannot bring it in on day 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